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F492417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7E0487" w:rsidRPr="00DA2B39" w:rsidRDefault="00E96446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Chap</w:t>
                                    </w:r>
                                    <w:r w:rsidR="00164804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itre </w:t>
                                    </w:r>
                                    <w:r w:rsidR="00B967CA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2370</w:t>
                                    </w:r>
                                  </w:p>
                                </w:sdtContent>
                              </w:sdt>
                              <w:p w:rsidR="00B967CA" w:rsidRDefault="00B967CA" w:rsidP="00B967CA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7E0487" w:rsidRPr="00DA2B39" w:rsidRDefault="00A007D2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B967CA" w:rsidRPr="00FB4E48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Impôts, droits et taxes</w:t>
                                    </w:r>
                                  </w:sdtContent>
                                </w:sdt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22370" w:rsidRDefault="008223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AB6EEF" w:rsidRDefault="00AB6EEF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E5E04" w:rsidRDefault="00EE5E0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AB6EEF" w:rsidRPr="00DA2B39" w:rsidRDefault="00AB6EEF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22370" w:rsidRPr="00DA2B39" w:rsidRDefault="00822370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5C5414" w:rsidRDefault="005C54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92D5C" w:rsidRDefault="00E92D5C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92D5C" w:rsidRDefault="00E92D5C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E92D5C" w:rsidRPr="00DA2B39" w:rsidRDefault="00E92D5C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5C5414" w:rsidRPr="00DA2B39" w:rsidRDefault="005C54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7E0487" w:rsidRPr="00DA2B39" w:rsidRDefault="007E0487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7E0487" w:rsidRPr="00DA2B39" w:rsidRDefault="00E96446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Chap</w:t>
                              </w:r>
                              <w:r w:rsidR="00164804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itre </w:t>
                              </w:r>
                              <w:r w:rsidR="00B967CA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2370</w:t>
                              </w:r>
                            </w:p>
                          </w:sdtContent>
                        </w:sdt>
                        <w:p w:rsidR="00B967CA" w:rsidRDefault="00B967CA" w:rsidP="00B967CA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7E0487" w:rsidRPr="00DA2B39" w:rsidRDefault="00A007D2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B967CA" w:rsidRPr="00FB4E48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Impôts, droits et taxes</w:t>
                              </w:r>
                            </w:sdtContent>
                          </w:sdt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22370" w:rsidRDefault="008223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AB6EEF" w:rsidRDefault="00AB6EEF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E5E04" w:rsidRDefault="00EE5E0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AB6EEF" w:rsidRPr="00DA2B39" w:rsidRDefault="00AB6EEF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22370" w:rsidRPr="00DA2B39" w:rsidRDefault="00822370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92D5C" w:rsidRDefault="00E92D5C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92D5C" w:rsidRDefault="00E92D5C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E92D5C" w:rsidRPr="00DA2B39" w:rsidRDefault="00E92D5C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5C5414" w:rsidRPr="00DA2B39" w:rsidRDefault="005C54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7E0487" w:rsidRPr="00DA2B39" w:rsidRDefault="007E0487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B967CA" w:rsidRDefault="00E92D5C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9821802" w:history="1">
        <w:r w:rsidR="00B967CA" w:rsidRPr="004613BA">
          <w:rPr>
            <w:rStyle w:val="Lienhypertexte"/>
          </w:rPr>
          <w:t>Section 100.</w:t>
        </w:r>
        <w:r w:rsidR="00B967CA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B967CA" w:rsidRPr="004613BA">
          <w:rPr>
            <w:rStyle w:val="Lienhypertexte"/>
          </w:rPr>
          <w:t>IAS 12 – Impôts sur le résultat</w:t>
        </w:r>
        <w:r w:rsidR="00B967CA">
          <w:rPr>
            <w:webHidden/>
          </w:rPr>
          <w:tab/>
        </w:r>
        <w:r w:rsidR="00B967CA">
          <w:rPr>
            <w:webHidden/>
          </w:rPr>
          <w:fldChar w:fldCharType="begin"/>
        </w:r>
        <w:r w:rsidR="00B967CA">
          <w:rPr>
            <w:webHidden/>
          </w:rPr>
          <w:instrText xml:space="preserve"> PAGEREF _Toc459821802 \h </w:instrText>
        </w:r>
        <w:r w:rsidR="00B967CA">
          <w:rPr>
            <w:webHidden/>
          </w:rPr>
        </w:r>
        <w:r w:rsidR="00B967CA">
          <w:rPr>
            <w:webHidden/>
          </w:rPr>
          <w:fldChar w:fldCharType="separate"/>
        </w:r>
        <w:r w:rsidR="00A007D2">
          <w:rPr>
            <w:webHidden/>
          </w:rPr>
          <w:t>3</w:t>
        </w:r>
        <w:r w:rsidR="00B967CA">
          <w:rPr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3" w:history="1">
        <w:r w:rsidR="00B967CA" w:rsidRPr="004613BA">
          <w:rPr>
            <w:rStyle w:val="Lienhypertexte"/>
            <w:noProof/>
          </w:rPr>
          <w:t>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_Toc459821803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4" w:history="1">
        <w:r w:rsidR="00B967CA" w:rsidRPr="004613BA">
          <w:rPr>
            <w:rStyle w:val="Lienhypertexte"/>
            <w:noProof/>
          </w:rPr>
          <w:t>1.1.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 au niveau de l’Union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_Toc459821804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5" w:history="1">
        <w:r w:rsidR="00B967CA" w:rsidRPr="004613BA">
          <w:rPr>
            <w:rStyle w:val="Lienhypertexte"/>
            <w:noProof/>
          </w:rPr>
          <w:t>1.2.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la Communauté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_Toc459821805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6" w:history="1">
        <w:r w:rsidR="00B967CA" w:rsidRPr="004613BA">
          <w:rPr>
            <w:rStyle w:val="Lienhypertexte"/>
            <w:noProof/>
          </w:rPr>
          <w:t>1.3.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l’IASB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_Toc459821806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7" w:history="1">
        <w:r w:rsidR="00B967CA" w:rsidRPr="004613BA">
          <w:rPr>
            <w:rStyle w:val="Lienhypertexte"/>
            <w:noProof/>
          </w:rPr>
          <w:t>1.4.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Projets 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_Toc459821807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8" w:history="1">
        <w:r w:rsidR="00B967CA" w:rsidRPr="004613BA">
          <w:rPr>
            <w:rStyle w:val="Lienhypertexte"/>
            <w:noProof/>
          </w:rPr>
          <w:t>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NORMES ET INTERPRETATIONS LIEES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_Toc459821808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09" w:history="1">
        <w:r w:rsidR="00B967CA" w:rsidRPr="004613BA">
          <w:rPr>
            <w:rStyle w:val="Lienhypertexte"/>
            <w:noProof/>
          </w:rPr>
          <w:t>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REJETS IFRIC LIES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_Toc459821809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0" w:history="1">
        <w:r w:rsidR="00B967CA" w:rsidRPr="004613BA">
          <w:rPr>
            <w:rStyle w:val="Lienhypertexte"/>
            <w:noProof/>
          </w:rPr>
          <w:t>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 ET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_Toc459821810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1" w:history="1">
        <w:r w:rsidR="00B967CA" w:rsidRPr="004613BA">
          <w:rPr>
            <w:rStyle w:val="Lienhypertexte"/>
            <w:noProof/>
          </w:rPr>
          <w:t>4.1.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_Toc459821811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2" w:history="1">
        <w:r w:rsidR="00B967CA" w:rsidRPr="004613BA">
          <w:rPr>
            <w:rStyle w:val="Lienhypertexte"/>
            <w:noProof/>
          </w:rPr>
          <w:t>4.2.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Décisions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_Toc459821812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3" w:history="1">
        <w:r w:rsidR="00B967CA" w:rsidRPr="004613BA">
          <w:rPr>
            <w:rStyle w:val="Lienhypertexte"/>
            <w:noProof/>
          </w:rPr>
          <w:t>5.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RAPPELS SUR LA NORME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_Toc459821813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4" w:history="1">
        <w:r w:rsidR="00B967CA" w:rsidRPr="004613BA">
          <w:rPr>
            <w:rStyle w:val="Lienhypertexte"/>
            <w:noProof/>
          </w:rPr>
          <w:t>6.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RESSOURCES MISES A DISPOSITION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_Toc459821814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21815" w:history="1">
        <w:r w:rsidR="00B967CA" w:rsidRPr="004613BA">
          <w:rPr>
            <w:rStyle w:val="Lienhypertexte"/>
          </w:rPr>
          <w:t>Section 110.</w:t>
        </w:r>
        <w:r w:rsidR="00B967CA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B967CA" w:rsidRPr="004613BA">
          <w:rPr>
            <w:rStyle w:val="Lienhypertexte"/>
          </w:rPr>
          <w:t>SIC 25 – Impôts sur le résultat - Changements de statut fiscal d'une entreprise ou de ses actionnaires</w:t>
        </w:r>
        <w:r w:rsidR="00B967CA">
          <w:rPr>
            <w:webHidden/>
          </w:rPr>
          <w:tab/>
        </w:r>
        <w:r w:rsidR="00B967CA">
          <w:rPr>
            <w:webHidden/>
          </w:rPr>
          <w:fldChar w:fldCharType="begin"/>
        </w:r>
        <w:r w:rsidR="00B967CA">
          <w:rPr>
            <w:webHidden/>
          </w:rPr>
          <w:instrText xml:space="preserve"> PAGEREF _Toc459821815 \h </w:instrText>
        </w:r>
        <w:r w:rsidR="00B967CA">
          <w:rPr>
            <w:webHidden/>
          </w:rPr>
        </w:r>
        <w:r w:rsidR="00B967CA">
          <w:rPr>
            <w:webHidden/>
          </w:rPr>
          <w:fldChar w:fldCharType="separate"/>
        </w:r>
        <w:r>
          <w:rPr>
            <w:webHidden/>
          </w:rPr>
          <w:t>5</w:t>
        </w:r>
        <w:r w:rsidR="00B967CA">
          <w:rPr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6" w:history="1">
        <w:r w:rsidR="00B967CA" w:rsidRPr="004613BA">
          <w:rPr>
            <w:rStyle w:val="Lienhypertexte"/>
            <w:noProof/>
          </w:rPr>
          <w:t>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_Toc459821816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7" w:history="1">
        <w:r w:rsidR="00B967CA" w:rsidRPr="004613BA">
          <w:rPr>
            <w:rStyle w:val="Lienhypertexte"/>
            <w:noProof/>
          </w:rPr>
          <w:t>1.1.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 au niveau de l’Union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_Toc459821817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8" w:history="1">
        <w:r w:rsidR="00B967CA" w:rsidRPr="004613BA">
          <w:rPr>
            <w:rStyle w:val="Lienhypertexte"/>
            <w:noProof/>
          </w:rPr>
          <w:t>1.2.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la Communauté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_Toc459821818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19" w:history="1">
        <w:r w:rsidR="00B967CA" w:rsidRPr="004613BA">
          <w:rPr>
            <w:rStyle w:val="Lienhypertexte"/>
            <w:noProof/>
          </w:rPr>
          <w:t>1.3.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l’IASB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_Toc459821819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0" w:history="1">
        <w:r w:rsidR="00B967CA" w:rsidRPr="004613BA">
          <w:rPr>
            <w:rStyle w:val="Lienhypertexte"/>
            <w:noProof/>
          </w:rPr>
          <w:t>1.4.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Projets 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_Toc459821820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1" w:history="1">
        <w:r w:rsidR="00B967CA" w:rsidRPr="004613BA">
          <w:rPr>
            <w:rStyle w:val="Lienhypertexte"/>
            <w:noProof/>
          </w:rPr>
          <w:t>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NORMES ET INTERPRETATIONS LIEES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_Toc459821821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2" w:history="1">
        <w:r w:rsidR="00B967CA" w:rsidRPr="004613BA">
          <w:rPr>
            <w:rStyle w:val="Lienhypertexte"/>
            <w:noProof/>
          </w:rPr>
          <w:t>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REJETS IFRIC LIES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_Toc459821822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3" w:history="1">
        <w:r w:rsidR="00B967CA" w:rsidRPr="004613BA">
          <w:rPr>
            <w:rStyle w:val="Lienhypertexte"/>
            <w:noProof/>
          </w:rPr>
          <w:t>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 ET DECISIONS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_Toc459821823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4" w:history="1">
        <w:r w:rsidR="00B967CA" w:rsidRPr="004613BA">
          <w:rPr>
            <w:rStyle w:val="Lienhypertexte"/>
            <w:noProof/>
          </w:rPr>
          <w:t>4.1.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_Toc459821824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5" w:history="1">
        <w:r w:rsidR="00B967CA" w:rsidRPr="004613BA">
          <w:rPr>
            <w:rStyle w:val="Lienhypertexte"/>
            <w:noProof/>
          </w:rPr>
          <w:t>4.2.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Décisions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_Toc459821825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6" w:history="1">
        <w:r w:rsidR="00B967CA" w:rsidRPr="004613BA">
          <w:rPr>
            <w:rStyle w:val="Lienhypertexte"/>
            <w:noProof/>
          </w:rPr>
          <w:t>5.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RAPPELS SUR L’INTERPRETATION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_Toc459821826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7" w:history="1">
        <w:r w:rsidR="00B967CA" w:rsidRPr="004613BA">
          <w:rPr>
            <w:rStyle w:val="Lienhypertexte"/>
            <w:noProof/>
          </w:rPr>
          <w:t>6.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RESSOURCES MISES A DISPOSITION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_Toc459821827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21828" w:history="1">
        <w:r w:rsidR="00B967CA" w:rsidRPr="004613BA">
          <w:rPr>
            <w:rStyle w:val="Lienhypertexte"/>
          </w:rPr>
          <w:t>Section 200.</w:t>
        </w:r>
        <w:r w:rsidR="00B967CA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B967CA" w:rsidRPr="004613BA">
          <w:rPr>
            <w:rStyle w:val="Lienhypertexte"/>
          </w:rPr>
          <w:t>IFRIC 21 – Droits et taxes</w:t>
        </w:r>
        <w:r w:rsidR="00B967CA">
          <w:rPr>
            <w:webHidden/>
          </w:rPr>
          <w:tab/>
        </w:r>
        <w:r w:rsidR="00B967CA">
          <w:rPr>
            <w:webHidden/>
          </w:rPr>
          <w:fldChar w:fldCharType="begin"/>
        </w:r>
        <w:r w:rsidR="00B967CA">
          <w:rPr>
            <w:webHidden/>
          </w:rPr>
          <w:instrText xml:space="preserve"> PAGEREF _Toc459821828 \h </w:instrText>
        </w:r>
        <w:r w:rsidR="00B967CA">
          <w:rPr>
            <w:webHidden/>
          </w:rPr>
        </w:r>
        <w:r w:rsidR="00B967CA">
          <w:rPr>
            <w:webHidden/>
          </w:rPr>
          <w:fldChar w:fldCharType="separate"/>
        </w:r>
        <w:r>
          <w:rPr>
            <w:webHidden/>
          </w:rPr>
          <w:t>7</w:t>
        </w:r>
        <w:r w:rsidR="00B967CA">
          <w:rPr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29" w:history="1">
        <w:r w:rsidR="00B967CA" w:rsidRPr="004613BA">
          <w:rPr>
            <w:rStyle w:val="Lienhypertexte"/>
            <w:noProof/>
          </w:rPr>
          <w:t>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_Toc459821829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0" w:history="1">
        <w:r w:rsidR="00B967CA" w:rsidRPr="004613BA">
          <w:rPr>
            <w:rStyle w:val="Lienhypertexte"/>
            <w:noProof/>
          </w:rPr>
          <w:t>1.1.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Historique au niveau de l’Union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_Toc459821830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1" w:history="1">
        <w:r w:rsidR="00B967CA" w:rsidRPr="004613BA">
          <w:rPr>
            <w:rStyle w:val="Lienhypertexte"/>
            <w:noProof/>
          </w:rPr>
          <w:t>1.2.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la Communauté européenne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_Toc459821831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2" w:history="1">
        <w:r w:rsidR="00B967CA" w:rsidRPr="004613BA">
          <w:rPr>
            <w:rStyle w:val="Lienhypertexte"/>
            <w:noProof/>
          </w:rPr>
          <w:t>1.3.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Textes en cours d’adoption par l’IASB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_Toc459821832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3" w:history="1">
        <w:r w:rsidR="00B967CA" w:rsidRPr="004613BA">
          <w:rPr>
            <w:rStyle w:val="Lienhypertexte"/>
            <w:noProof/>
          </w:rPr>
          <w:t>1.4.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Projets IASB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_Toc459821833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4" w:history="1">
        <w:r w:rsidR="00B967CA" w:rsidRPr="004613BA">
          <w:rPr>
            <w:rStyle w:val="Lienhypertexte"/>
            <w:noProof/>
          </w:rPr>
          <w:t>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NORMES ET INTERPRETATIONS LIEES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_Toc459821834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5" w:history="1">
        <w:r w:rsidR="00B967CA" w:rsidRPr="004613BA">
          <w:rPr>
            <w:rStyle w:val="Lienhypertexte"/>
            <w:noProof/>
          </w:rPr>
          <w:t>3.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REJETS IFRIC LIES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_Toc459821835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6" w:history="1">
        <w:r w:rsidR="00B967CA" w:rsidRPr="004613BA">
          <w:rPr>
            <w:rStyle w:val="Lienhypertexte"/>
            <w:noProof/>
          </w:rPr>
          <w:t>4.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 ET DECISIONS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_Toc459821836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7" w:history="1">
        <w:r w:rsidR="00B967CA" w:rsidRPr="004613BA">
          <w:rPr>
            <w:rStyle w:val="Lienhypertexte"/>
            <w:noProof/>
          </w:rPr>
          <w:t>4.1.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Recommandations AMF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_Toc459821837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8" w:history="1">
        <w:r w:rsidR="00B967CA" w:rsidRPr="004613BA">
          <w:rPr>
            <w:rStyle w:val="Lienhypertexte"/>
            <w:noProof/>
          </w:rPr>
          <w:t>4.2.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Décision</w:t>
        </w:r>
        <w:bookmarkStart w:id="0" w:name="_GoBack"/>
        <w:bookmarkEnd w:id="0"/>
        <w:r w:rsidR="00B967CA" w:rsidRPr="004613BA">
          <w:rPr>
            <w:rStyle w:val="Lienhypertexte"/>
            <w:noProof/>
          </w:rPr>
          <w:t>s ESMA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_Toc459821838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39" w:history="1">
        <w:r w:rsidR="00B967CA" w:rsidRPr="004613BA">
          <w:rPr>
            <w:rStyle w:val="Lienhypertexte"/>
            <w:noProof/>
          </w:rPr>
          <w:t>5.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RAPPELS SUR L’INTERPRETATION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_Toc459821839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7CA">
          <w:rPr>
            <w:noProof/>
            <w:webHidden/>
          </w:rPr>
          <w:fldChar w:fldCharType="end"/>
        </w:r>
      </w:hyperlink>
    </w:p>
    <w:p w:rsidR="00B967CA" w:rsidRDefault="00A007D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21840" w:history="1">
        <w:r w:rsidR="00B967CA" w:rsidRPr="004613BA">
          <w:rPr>
            <w:rStyle w:val="Lienhypertexte"/>
            <w:noProof/>
          </w:rPr>
          <w:t>6.</w:t>
        </w:r>
        <w:r w:rsidR="00B967CA">
          <w:rPr>
            <w:rFonts w:asciiTheme="minorHAnsi" w:eastAsiaTheme="minorEastAsia" w:hAnsiTheme="minorHAnsi"/>
            <w:noProof/>
            <w:lang w:eastAsia="fr-FR"/>
          </w:rPr>
          <w:tab/>
        </w:r>
        <w:r w:rsidR="00B967CA" w:rsidRPr="004613BA">
          <w:rPr>
            <w:rStyle w:val="Lienhypertexte"/>
            <w:noProof/>
          </w:rPr>
          <w:t>RESSOURCES MISES A DISPOSITION</w:t>
        </w:r>
        <w:r w:rsidR="00B967CA">
          <w:rPr>
            <w:noProof/>
            <w:webHidden/>
          </w:rPr>
          <w:tab/>
        </w:r>
        <w:r w:rsidR="00B967CA">
          <w:rPr>
            <w:noProof/>
            <w:webHidden/>
          </w:rPr>
          <w:fldChar w:fldCharType="begin"/>
        </w:r>
        <w:r w:rsidR="00B967CA">
          <w:rPr>
            <w:noProof/>
            <w:webHidden/>
          </w:rPr>
          <w:instrText xml:space="preserve"> PAGEREF _Toc459821840 \h </w:instrText>
        </w:r>
        <w:r w:rsidR="00B967CA">
          <w:rPr>
            <w:noProof/>
            <w:webHidden/>
          </w:rPr>
        </w:r>
        <w:r w:rsidR="00B967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7CA">
          <w:rPr>
            <w:noProof/>
            <w:webHidden/>
          </w:rPr>
          <w:fldChar w:fldCharType="end"/>
        </w:r>
      </w:hyperlink>
    </w:p>
    <w:p w:rsidR="00E92D5C" w:rsidRDefault="00E92D5C" w:rsidP="00E92D5C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E92D5C" w:rsidRDefault="00E92D5C" w:rsidP="00E92D5C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E92D5C" w:rsidRDefault="00E92D5C" w:rsidP="00E92D5C">
      <w:pPr>
        <w:pStyle w:val="CACCorps"/>
      </w:pPr>
    </w:p>
    <w:p w:rsidR="00B967CA" w:rsidRPr="00B967CA" w:rsidRDefault="00B967CA" w:rsidP="00B967CA">
      <w:pPr>
        <w:pStyle w:val="CACTitre1"/>
      </w:pPr>
      <w:bookmarkStart w:id="1" w:name="_Toc448328780"/>
      <w:bookmarkStart w:id="2" w:name="_Toc448997399"/>
      <w:bookmarkStart w:id="3" w:name="_Toc459821802"/>
      <w:r w:rsidRPr="00B967CA">
        <w:t xml:space="preserve">IAS 12 – </w:t>
      </w:r>
      <w:bookmarkEnd w:id="1"/>
      <w:r w:rsidRPr="00B967CA">
        <w:t>Impôts sur le résultat</w:t>
      </w:r>
      <w:bookmarkEnd w:id="2"/>
      <w:bookmarkEnd w:id="3"/>
      <w:r w:rsidRPr="00B967CA">
        <w:t xml:space="preserve"> </w:t>
      </w:r>
    </w:p>
    <w:p w:rsidR="00B967CA" w:rsidRPr="00DD09B7" w:rsidRDefault="00B967CA" w:rsidP="00B967CA"/>
    <w:p w:rsidR="00B967CA" w:rsidRPr="00B967CA" w:rsidRDefault="00B967CA" w:rsidP="00B967CA">
      <w:pPr>
        <w:pStyle w:val="CACTitre2"/>
        <w:numPr>
          <w:ilvl w:val="1"/>
          <w:numId w:val="39"/>
        </w:numPr>
      </w:pPr>
      <w:bookmarkStart w:id="4" w:name="_Toc459821803"/>
      <w:r w:rsidRPr="00B967CA">
        <w:t>HISTORIQUE</w:t>
      </w:r>
      <w:bookmarkEnd w:id="4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5" w:name="_Toc448328782"/>
      <w:bookmarkStart w:id="6" w:name="_Toc448997401"/>
      <w:bookmarkStart w:id="7" w:name="_Toc459821804"/>
      <w:r>
        <w:t>Historique au niveau de l’Union européenne</w:t>
      </w:r>
      <w:bookmarkEnd w:id="5"/>
      <w:bookmarkEnd w:id="6"/>
      <w:bookmarkEnd w:id="7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808"/>
        <w:gridCol w:w="1214"/>
        <w:gridCol w:w="1213"/>
        <w:gridCol w:w="1197"/>
        <w:gridCol w:w="1196"/>
        <w:gridCol w:w="1146"/>
      </w:tblGrid>
      <w:tr w:rsidR="00B967CA" w:rsidRPr="0048297E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Impôts sur le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01/10/1996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d'IAS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1, IAS 8, IAS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Impôt différé: recouvrement des actifs sous-jacents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8" w:name="_Toc448328783"/>
      <w:bookmarkStart w:id="9" w:name="_Toc448997402"/>
      <w:bookmarkStart w:id="10" w:name="_Toc459821805"/>
      <w:r>
        <w:t>Textes en cours d’adoption par la Communauté européenne</w:t>
      </w:r>
      <w:bookmarkEnd w:id="8"/>
      <w:bookmarkEnd w:id="9"/>
      <w:bookmarkEnd w:id="10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914"/>
        <w:gridCol w:w="1233"/>
        <w:gridCol w:w="1251"/>
        <w:gridCol w:w="1213"/>
        <w:gridCol w:w="1231"/>
        <w:gridCol w:w="1167"/>
      </w:tblGrid>
      <w:tr w:rsidR="00B967CA" w:rsidRPr="0048297E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d’actifs d’impôt différé au titre de pertes latentes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QA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11" w:name="_Toc448328784"/>
      <w:bookmarkStart w:id="12" w:name="_Toc448997403"/>
      <w:bookmarkStart w:id="13" w:name="_Toc459821806"/>
      <w:r>
        <w:t>Textes en cours d’adoption par l’IASB</w:t>
      </w:r>
      <w:bookmarkEnd w:id="11"/>
      <w:bookmarkEnd w:id="12"/>
      <w:bookmarkEnd w:id="13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Pr="00AE619C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14" w:name="_Toc448328785"/>
      <w:bookmarkStart w:id="15" w:name="_Toc448997404"/>
      <w:bookmarkStart w:id="16" w:name="_Toc459821807"/>
      <w:r>
        <w:t>Projets IASB</w:t>
      </w:r>
      <w:bookmarkEnd w:id="14"/>
      <w:bookmarkEnd w:id="15"/>
      <w:bookmarkEnd w:id="16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17" w:name="_Toc448328786"/>
      <w:bookmarkStart w:id="18" w:name="_Toc448997405"/>
      <w:bookmarkStart w:id="19" w:name="_Toc459821808"/>
      <w:r>
        <w:lastRenderedPageBreak/>
        <w:t>NORMES ET INTERPRETATIONS LIEES</w:t>
      </w:r>
      <w:bookmarkEnd w:id="17"/>
      <w:bookmarkEnd w:id="18"/>
      <w:bookmarkEnd w:id="19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  <w:numPr>
          <w:ilvl w:val="0"/>
          <w:numId w:val="48"/>
        </w:numPr>
      </w:pPr>
      <w:r w:rsidRPr="00926999">
        <w:rPr>
          <w:b/>
        </w:rPr>
        <w:t>IFRIC 7</w:t>
      </w:r>
      <w:r>
        <w:t xml:space="preserve"> – </w:t>
      </w:r>
      <w:r w:rsidRPr="00926999">
        <w:rPr>
          <w:i/>
        </w:rPr>
        <w:t>Application de l’approche du retraitement dans le cadre d’IAS 29 Information financière dans les économies hyperinflationnistes</w:t>
      </w:r>
    </w:p>
    <w:p w:rsidR="00B967CA" w:rsidRDefault="00B967CA" w:rsidP="00B967CA">
      <w:pPr>
        <w:pStyle w:val="CACCorps"/>
        <w:numPr>
          <w:ilvl w:val="0"/>
          <w:numId w:val="48"/>
        </w:numPr>
      </w:pPr>
      <w:r w:rsidRPr="00926999">
        <w:rPr>
          <w:b/>
        </w:rPr>
        <w:t>SIC 25</w:t>
      </w:r>
      <w:r>
        <w:t xml:space="preserve"> - </w:t>
      </w:r>
      <w:r w:rsidRPr="00FE4492">
        <w:rPr>
          <w:i/>
        </w:rPr>
        <w:t>Impôt sur le résultat - Changements de statut fiscal d'une entreprise ou de ses actionnaires</w:t>
      </w:r>
    </w:p>
    <w:p w:rsidR="00B967CA" w:rsidRDefault="00B967CA" w:rsidP="00B967CA">
      <w:pPr>
        <w:pStyle w:val="CACCorps"/>
        <w:numPr>
          <w:ilvl w:val="0"/>
          <w:numId w:val="48"/>
        </w:numPr>
        <w:rPr>
          <w:i/>
        </w:rPr>
      </w:pPr>
      <w:r w:rsidRPr="00926999">
        <w:rPr>
          <w:b/>
          <w:i/>
        </w:rPr>
        <w:t>SIC 21</w:t>
      </w:r>
      <w:r w:rsidRPr="00926999">
        <w:rPr>
          <w:i/>
        </w:rPr>
        <w:t xml:space="preserve"> – Impôt sur le résultat - Recouvrement des actifs non amortissables réévalués</w:t>
      </w:r>
      <w:r>
        <w:rPr>
          <w:i/>
        </w:rPr>
        <w:t>.</w:t>
      </w:r>
      <w:r>
        <w:t>Le texte a été abrogé suite</w:t>
      </w:r>
      <w:r w:rsidRPr="00FE4492">
        <w:t xml:space="preserve"> à l'amendement d'IAS 12 sur </w:t>
      </w:r>
      <w:r w:rsidRPr="00FE4492">
        <w:rPr>
          <w:i/>
        </w:rPr>
        <w:t>Impôt différé: recouvrement des actifs sous-jacents</w:t>
      </w:r>
    </w:p>
    <w:p w:rsidR="00B967CA" w:rsidRPr="00926999" w:rsidRDefault="00B967CA" w:rsidP="00B967CA">
      <w:pPr>
        <w:pStyle w:val="CACCorps"/>
        <w:ind w:left="766"/>
        <w:rPr>
          <w:i/>
        </w:rPr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20" w:name="_Toc448328787"/>
      <w:bookmarkStart w:id="21" w:name="_Toc448997406"/>
      <w:bookmarkStart w:id="22" w:name="_Toc459821809"/>
      <w:r>
        <w:t xml:space="preserve">REJETS IFRIC </w:t>
      </w:r>
      <w:bookmarkEnd w:id="20"/>
      <w:bookmarkEnd w:id="21"/>
      <w:r>
        <w:t>LIES</w:t>
      </w:r>
      <w:bookmarkEnd w:id="22"/>
    </w:p>
    <w:p w:rsidR="00B967CA" w:rsidRDefault="00B967CA" w:rsidP="00B967C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B967CA" w:rsidRPr="00FE4492" w:rsidTr="00D01610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B967CA" w:rsidRPr="00FE4492" w:rsidTr="00D01610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Comptabilisation et évaluation des actifs d'impôts différés lorsqu'une entité est déficitaire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  <w:tr w:rsidR="00B967CA" w:rsidRPr="00FE4492" w:rsidTr="00D01610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Impact d'une réorganisation interne sur les montants d'impôts différés liés au goodwill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  <w:tr w:rsidR="00B967CA" w:rsidRPr="00FE4492" w:rsidTr="00D01610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Comptabilisation de l'impôt exigible lors d'une position fiscale incertaine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30/07/2014</w:t>
            </w:r>
          </w:p>
        </w:tc>
      </w:tr>
      <w:tr w:rsidR="00B967CA" w:rsidRPr="00FE4492" w:rsidTr="00D01610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Demande d'analyse à l'IASB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Clarification sur le calcul de l'impôt différé lorsqu'une entité détient une filiale qui détient ayant un seul actif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24/07/2014</w:t>
            </w:r>
          </w:p>
        </w:tc>
      </w:tr>
      <w:tr w:rsidR="00B967CA" w:rsidRPr="00FE4492" w:rsidTr="00D01610">
        <w:trPr>
          <w:trHeight w:val="12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Choix du taux d'imposition applicable à l'évaluation de l'impôt différé relatif à un investissement dans une entreprise associée dans une juridication ayant plusieurs taux applicables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24/03/2015</w:t>
            </w:r>
          </w:p>
        </w:tc>
      </w:tr>
      <w:tr w:rsidR="00B967CA" w:rsidRPr="00FE4492" w:rsidTr="00D01610">
        <w:trPr>
          <w:trHeight w:val="12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Comptabilisation par le compte de résultat des impôts différés pour les différences temporelles découlant de l'incidence des variations des taux de change sur les bases fiscales des actifs non courants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23" w:name="_Toc448328788"/>
      <w:bookmarkStart w:id="24" w:name="_Toc448997407"/>
      <w:bookmarkStart w:id="25" w:name="_Toc459821810"/>
      <w:r>
        <w:t>RECOMMANDATIONS AMF ET ESMA</w:t>
      </w:r>
      <w:bookmarkEnd w:id="23"/>
      <w:bookmarkEnd w:id="24"/>
      <w:bookmarkEnd w:id="25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</w:pPr>
      <w:bookmarkStart w:id="26" w:name="_Toc448997408"/>
      <w:bookmarkStart w:id="27" w:name="_Toc459821811"/>
      <w:r>
        <w:t>Recommandations AMF</w:t>
      </w:r>
      <w:bookmarkEnd w:id="26"/>
      <w:bookmarkEnd w:id="27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330"/>
        <w:gridCol w:w="1130"/>
        <w:gridCol w:w="1754"/>
        <w:gridCol w:w="1502"/>
      </w:tblGrid>
      <w:tr w:rsidR="00B967CA" w:rsidRPr="00FE4492" w:rsidTr="007F03F4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Conséquences de la crise sur les impôts différés actifs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Conséquences possibles de la crise sur les impôts différés passifs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Comptabilisation d’actifs d’impôts différés sur reports déficitaires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Dépréciation d’actifs corporels et incorporels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Réconciliation de l’impôt et du bénéfice comptable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Impôts différés actifs et passifs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Classement de  la taxe de 3% sur les dividendes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Classement du Crédit d’impôt pour la Compétitivité et l’Emploi (CICE)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</w:pPr>
      <w:bookmarkStart w:id="28" w:name="_Toc448997409"/>
      <w:bookmarkStart w:id="29" w:name="_Toc459821812"/>
      <w:r>
        <w:t>Décisions ESMA</w:t>
      </w:r>
      <w:bookmarkEnd w:id="28"/>
      <w:bookmarkEnd w:id="29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159"/>
        <w:gridCol w:w="1247"/>
        <w:gridCol w:w="1561"/>
        <w:gridCol w:w="1429"/>
      </w:tblGrid>
      <w:tr w:rsidR="00B967CA" w:rsidRPr="00FE4492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 d'impôt différé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 d'impôt différé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Traitement comptable des ajustements d'impôts sur les bénéfices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 d'impôt différé provenant de déficits fiscaux reportables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Reconnaissance d’actifs d'impôts différés liée à une moins-value attendue sur la cession d’une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FE4492" w:rsidTr="00D0161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effets de l’application d’un régime fiscal spécifique à des actifs nouvellement acquis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E4492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E449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30" w:name="_Toc448328789"/>
      <w:bookmarkStart w:id="31" w:name="_Toc448997410"/>
      <w:bookmarkStart w:id="32" w:name="_Toc459821813"/>
      <w:r>
        <w:t>RAPPELS SUR LA NORME</w:t>
      </w:r>
      <w:bookmarkEnd w:id="30"/>
      <w:bookmarkEnd w:id="31"/>
      <w:bookmarkEnd w:id="32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33" w:name="_Toc448328790"/>
      <w:bookmarkStart w:id="34" w:name="_Toc448997411"/>
      <w:bookmarkStart w:id="35" w:name="_Toc459821814"/>
      <w:r>
        <w:t>RESSOURCES MISES A DISPOSITION</w:t>
      </w:r>
      <w:bookmarkEnd w:id="33"/>
      <w:bookmarkEnd w:id="34"/>
      <w:bookmarkEnd w:id="35"/>
    </w:p>
    <w:p w:rsidR="00B967CA" w:rsidRDefault="00B967CA" w:rsidP="00B967CA">
      <w:pPr>
        <w:pStyle w:val="CACCorps"/>
      </w:pPr>
    </w:p>
    <w:p w:rsidR="00B967CA" w:rsidRDefault="00A007D2" w:rsidP="007F03F4">
      <w:pPr>
        <w:pStyle w:val="CACCorps"/>
        <w:numPr>
          <w:ilvl w:val="0"/>
          <w:numId w:val="52"/>
        </w:numPr>
      </w:pPr>
      <w:hyperlink r:id="rId11" w:history="1">
        <w:r w:rsidR="00B967CA" w:rsidRPr="00B967CA">
          <w:rPr>
            <w:rStyle w:val="Lienhypertexte"/>
          </w:rPr>
          <w:t>QFF10.X001</w:t>
        </w:r>
      </w:hyperlink>
      <w:r w:rsidR="007F03F4">
        <w:t xml:space="preserve"> - Questionnaire sur les impôts (IAS 12)</w:t>
      </w:r>
    </w:p>
    <w:p w:rsidR="007F03F4" w:rsidRDefault="007F03F4" w:rsidP="00B967CA">
      <w:pPr>
        <w:pStyle w:val="CACCorps"/>
      </w:pPr>
    </w:p>
    <w:p w:rsidR="00B967CA" w:rsidRDefault="00B967CA" w:rsidP="00B967CA">
      <w:pPr>
        <w:pStyle w:val="CACTitre1"/>
      </w:pPr>
      <w:bookmarkStart w:id="36" w:name="_Toc448997412"/>
      <w:bookmarkStart w:id="37" w:name="_Toc459821815"/>
      <w:r>
        <w:t xml:space="preserve">SIC 25 – </w:t>
      </w:r>
      <w:r w:rsidRPr="00BE4070">
        <w:t>Impôt</w:t>
      </w:r>
      <w:r>
        <w:t>s</w:t>
      </w:r>
      <w:r w:rsidRPr="00BE4070">
        <w:t xml:space="preserve"> sur le résultat - Changements de statut fiscal d'une entreprise ou de ses actionnaires</w:t>
      </w:r>
      <w:bookmarkEnd w:id="36"/>
      <w:bookmarkEnd w:id="37"/>
    </w:p>
    <w:p w:rsidR="00B967CA" w:rsidRPr="00DD09B7" w:rsidRDefault="00B967CA" w:rsidP="00B967CA"/>
    <w:p w:rsidR="00B967CA" w:rsidRDefault="00B967CA" w:rsidP="00B967CA">
      <w:pPr>
        <w:pStyle w:val="CACTitre2"/>
        <w:numPr>
          <w:ilvl w:val="1"/>
          <w:numId w:val="39"/>
        </w:numPr>
      </w:pPr>
      <w:bookmarkStart w:id="38" w:name="_Toc459821816"/>
      <w:r>
        <w:t>HISTORIQUE</w:t>
      </w:r>
      <w:bookmarkEnd w:id="38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39" w:name="_Toc448997414"/>
      <w:bookmarkStart w:id="40" w:name="_Toc459821817"/>
      <w:r>
        <w:t>Historique au niveau de l’Union européenne</w:t>
      </w:r>
      <w:bookmarkEnd w:id="39"/>
      <w:bookmarkEnd w:id="40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"/>
        <w:gridCol w:w="1812"/>
        <w:gridCol w:w="1210"/>
        <w:gridCol w:w="1206"/>
        <w:gridCol w:w="1194"/>
        <w:gridCol w:w="1189"/>
        <w:gridCol w:w="1142"/>
      </w:tblGrid>
      <w:tr w:rsidR="00B967CA" w:rsidRPr="00BE4070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BE4070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Impôt sur le résultat - Changements de statut fiscal d'une entreprise ou de ses actionnaires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11/07/2000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15/07/2000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BE4070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B967CA" w:rsidRPr="00BE4070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BE4070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BE40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41" w:name="_Toc448997415"/>
      <w:bookmarkStart w:id="42" w:name="_Toc459821818"/>
      <w:r>
        <w:t>Textes en cours d’adoption par la Communauté européenne</w:t>
      </w:r>
      <w:bookmarkEnd w:id="41"/>
      <w:bookmarkEnd w:id="42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1914"/>
        <w:gridCol w:w="1233"/>
        <w:gridCol w:w="1251"/>
        <w:gridCol w:w="1213"/>
        <w:gridCol w:w="1231"/>
        <w:gridCol w:w="1167"/>
      </w:tblGrid>
      <w:tr w:rsidR="00B967CA" w:rsidRPr="0048297E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48297E" w:rsidTr="00D0161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d’actifs d’impôt différé au titre de pertes latentes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QA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43" w:name="_Toc448997416"/>
      <w:bookmarkStart w:id="44" w:name="_Toc459821819"/>
      <w:r>
        <w:t>Textes en cours d’adoption par l’IASB</w:t>
      </w:r>
      <w:bookmarkEnd w:id="43"/>
      <w:bookmarkEnd w:id="44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45" w:name="_Toc448997417"/>
      <w:bookmarkStart w:id="46" w:name="_Toc459821820"/>
      <w:r>
        <w:t>Projets IASB</w:t>
      </w:r>
      <w:bookmarkEnd w:id="45"/>
      <w:bookmarkEnd w:id="46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47" w:name="_Toc448997418"/>
      <w:bookmarkStart w:id="48" w:name="_Toc459821821"/>
      <w:r>
        <w:t>NORMES ET INTERPRETATIONS LIEES</w:t>
      </w:r>
      <w:bookmarkEnd w:id="47"/>
      <w:bookmarkEnd w:id="48"/>
    </w:p>
    <w:p w:rsidR="00B967CA" w:rsidRDefault="00B967CA" w:rsidP="00B967CA">
      <w:pPr>
        <w:pStyle w:val="CACCorps"/>
      </w:pPr>
    </w:p>
    <w:p w:rsidR="00B967CA" w:rsidRPr="00DB030E" w:rsidRDefault="00B967CA" w:rsidP="00B967CA">
      <w:pPr>
        <w:pStyle w:val="CACCorps"/>
        <w:numPr>
          <w:ilvl w:val="0"/>
          <w:numId w:val="49"/>
        </w:numPr>
      </w:pPr>
      <w:r w:rsidRPr="00DB030E">
        <w:rPr>
          <w:b/>
        </w:rPr>
        <w:t>IAS 12</w:t>
      </w:r>
      <w:r>
        <w:t xml:space="preserve"> – </w:t>
      </w:r>
      <w:r w:rsidRPr="00DB030E">
        <w:rPr>
          <w:i/>
        </w:rPr>
        <w:t>Impôts sur le résultat</w:t>
      </w:r>
    </w:p>
    <w:p w:rsidR="00B967CA" w:rsidRDefault="00B967CA" w:rsidP="00B967CA">
      <w:pPr>
        <w:pStyle w:val="CACCorps"/>
        <w:ind w:left="766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49" w:name="_Toc448997419"/>
      <w:bookmarkStart w:id="50" w:name="_Toc459821822"/>
      <w:r>
        <w:t xml:space="preserve">REJETS IFRIC </w:t>
      </w:r>
      <w:bookmarkEnd w:id="49"/>
      <w:r>
        <w:t>LIES</w:t>
      </w:r>
      <w:bookmarkEnd w:id="50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51" w:name="_Toc448997420"/>
      <w:bookmarkStart w:id="52" w:name="_Toc459821823"/>
      <w:r>
        <w:t>RECOMMANDATIONS AMF ET DECISIONS ESMA</w:t>
      </w:r>
      <w:bookmarkEnd w:id="51"/>
      <w:bookmarkEnd w:id="52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53" w:name="_Toc448997421"/>
      <w:bookmarkStart w:id="54" w:name="_Toc459821824"/>
      <w:r>
        <w:t>Recommandations AMF</w:t>
      </w:r>
      <w:bookmarkEnd w:id="53"/>
      <w:bookmarkEnd w:id="54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Aucune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55" w:name="_Toc448997422"/>
      <w:bookmarkStart w:id="56" w:name="_Toc459821825"/>
      <w:r>
        <w:t>Décisions ESMA</w:t>
      </w:r>
      <w:bookmarkEnd w:id="55"/>
      <w:bookmarkEnd w:id="56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Aucune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57" w:name="_Toc448997423"/>
      <w:bookmarkStart w:id="58" w:name="_Toc459821826"/>
      <w:r>
        <w:t>RAPPELS SUR L’INTERPRETATION</w:t>
      </w:r>
      <w:bookmarkEnd w:id="57"/>
      <w:bookmarkEnd w:id="58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59" w:name="_Toc448997424"/>
      <w:bookmarkStart w:id="60" w:name="_Toc459821827"/>
      <w:r>
        <w:t>RESSOURCES MISES A DISPOSITION</w:t>
      </w:r>
      <w:bookmarkEnd w:id="59"/>
      <w:bookmarkEnd w:id="60"/>
    </w:p>
    <w:p w:rsidR="00B967CA" w:rsidRDefault="00B967CA" w:rsidP="00B967CA">
      <w:pPr>
        <w:pStyle w:val="CACCorps"/>
      </w:pPr>
    </w:p>
    <w:p w:rsidR="00B967CA" w:rsidRDefault="00B967CA" w:rsidP="00B967CA">
      <w:pPr>
        <w:jc w:val="left"/>
      </w:pPr>
      <w:r>
        <w:br w:type="page"/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1"/>
        <w:numPr>
          <w:ilvl w:val="0"/>
          <w:numId w:val="4"/>
        </w:numPr>
      </w:pPr>
      <w:bookmarkStart w:id="61" w:name="_Toc448997425"/>
      <w:bookmarkStart w:id="62" w:name="_Toc459821828"/>
      <w:r>
        <w:t>IFRIC 21 – Droits et taxes</w:t>
      </w:r>
      <w:bookmarkEnd w:id="61"/>
      <w:bookmarkEnd w:id="62"/>
    </w:p>
    <w:p w:rsidR="00B967CA" w:rsidRPr="00DD09B7" w:rsidRDefault="00B967CA" w:rsidP="00B967CA"/>
    <w:p w:rsidR="00B967CA" w:rsidRDefault="00B967CA" w:rsidP="00B967CA">
      <w:pPr>
        <w:pStyle w:val="CACTitre2"/>
        <w:numPr>
          <w:ilvl w:val="1"/>
          <w:numId w:val="39"/>
        </w:numPr>
      </w:pPr>
      <w:bookmarkStart w:id="63" w:name="_Toc459821829"/>
      <w:r>
        <w:t>HISTORIQUE</w:t>
      </w:r>
      <w:bookmarkEnd w:id="63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64" w:name="_Toc448997427"/>
      <w:bookmarkStart w:id="65" w:name="_Toc459821830"/>
      <w:r>
        <w:t>Historique au niveau de l’Union européenne</w:t>
      </w:r>
      <w:bookmarkEnd w:id="64"/>
      <w:bookmarkEnd w:id="65"/>
    </w:p>
    <w:p w:rsidR="00B967CA" w:rsidRDefault="00B967CA" w:rsidP="00B967C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798"/>
        <w:gridCol w:w="1392"/>
        <w:gridCol w:w="1572"/>
        <w:gridCol w:w="1345"/>
        <w:gridCol w:w="1525"/>
        <w:gridCol w:w="1344"/>
      </w:tblGrid>
      <w:tr w:rsidR="00B967CA" w:rsidRPr="0048297E" w:rsidTr="00D0161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B967CA" w:rsidRPr="0048297E" w:rsidTr="00D0161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B967CA" w:rsidRPr="0048297E" w:rsidRDefault="00B967CA" w:rsidP="00D01610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Droits et Taxes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20/05/2013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13/06/2014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17/06/2014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B967CA" w:rsidRPr="0048297E" w:rsidRDefault="00B967CA" w:rsidP="00D01610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4829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66" w:name="_Toc448997428"/>
      <w:bookmarkStart w:id="67" w:name="_Toc459821831"/>
      <w:r>
        <w:t>Textes en cours d’adoption par la Communauté européenne</w:t>
      </w:r>
      <w:bookmarkEnd w:id="66"/>
      <w:bookmarkEnd w:id="67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68" w:name="_Toc448997429"/>
      <w:bookmarkStart w:id="69" w:name="_Toc459821832"/>
      <w:r>
        <w:t>Textes en cours d’adoption par l’IASB</w:t>
      </w:r>
      <w:bookmarkEnd w:id="68"/>
      <w:bookmarkEnd w:id="69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70" w:name="_Toc448997430"/>
      <w:bookmarkStart w:id="71" w:name="_Toc459821833"/>
      <w:r>
        <w:t>Projets IASB</w:t>
      </w:r>
      <w:bookmarkEnd w:id="70"/>
      <w:bookmarkEnd w:id="71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72" w:name="_Toc448997431"/>
      <w:bookmarkStart w:id="73" w:name="_Toc459821834"/>
      <w:r>
        <w:t>NORMES ET INTERPRETATIONS LIEES</w:t>
      </w:r>
      <w:bookmarkEnd w:id="72"/>
      <w:bookmarkEnd w:id="73"/>
    </w:p>
    <w:p w:rsidR="00B967CA" w:rsidRDefault="00B967CA" w:rsidP="00B967CA">
      <w:pPr>
        <w:pStyle w:val="CACCorps"/>
      </w:pP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1 – </w:t>
      </w:r>
      <w:r>
        <w:rPr>
          <w:i/>
        </w:rPr>
        <w:t>Présentation des états financiers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  <w:rPr>
          <w:i/>
        </w:rPr>
      </w:pPr>
      <w:r>
        <w:rPr>
          <w:b/>
        </w:rPr>
        <w:t>IAS 8 –</w:t>
      </w:r>
      <w:r w:rsidRPr="00F43752">
        <w:rPr>
          <w:i/>
        </w:rPr>
        <w:t xml:space="preserve"> Principes comptables, changements d'estimations comptables et erreurs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12 – </w:t>
      </w:r>
      <w:r>
        <w:rPr>
          <w:i/>
        </w:rPr>
        <w:t>Impôts sur le résultat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20 – </w:t>
      </w:r>
      <w:r w:rsidRPr="00F43752">
        <w:rPr>
          <w:i/>
        </w:rPr>
        <w:t>Comptabilisation des subventions publiques et informations à fournir sur l'aide publique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24 – </w:t>
      </w:r>
      <w:r>
        <w:rPr>
          <w:i/>
        </w:rPr>
        <w:t>Informations à fournir sur les parties liées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34 – </w:t>
      </w:r>
      <w:r>
        <w:rPr>
          <w:i/>
        </w:rPr>
        <w:t>Information financière intermédiaire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IAS 37 – </w:t>
      </w:r>
      <w:r>
        <w:rPr>
          <w:i/>
        </w:rPr>
        <w:t>Provisions, passifs éventuels et actifs éventuels</w:t>
      </w:r>
    </w:p>
    <w:p w:rsidR="00B967CA" w:rsidRPr="00F43752" w:rsidRDefault="00B967CA" w:rsidP="00B967CA">
      <w:pPr>
        <w:pStyle w:val="CACCorps"/>
        <w:numPr>
          <w:ilvl w:val="0"/>
          <w:numId w:val="49"/>
        </w:numPr>
      </w:pPr>
      <w:r>
        <w:rPr>
          <w:b/>
        </w:rPr>
        <w:t xml:space="preserve">IFRIC 6 – </w:t>
      </w:r>
      <w:r w:rsidRPr="00F43752">
        <w:rPr>
          <w:i/>
        </w:rPr>
        <w:t>Passifs découlant de la participation à un marché déterminé — Déchets d'équipements électriques et électroniques</w:t>
      </w:r>
    </w:p>
    <w:p w:rsidR="00B967CA" w:rsidRPr="00AE619C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74" w:name="_Toc448997432"/>
      <w:bookmarkStart w:id="75" w:name="_Toc459821835"/>
      <w:r>
        <w:t xml:space="preserve">REJETS IFRIC </w:t>
      </w:r>
      <w:bookmarkEnd w:id="74"/>
      <w:r>
        <w:t>LIES</w:t>
      </w:r>
      <w:bookmarkEnd w:id="75"/>
    </w:p>
    <w:p w:rsidR="00B967CA" w:rsidRDefault="00B967CA" w:rsidP="00B967C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B967CA" w:rsidRPr="00F43752" w:rsidTr="00D01610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4375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4375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F4375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B967CA" w:rsidRPr="00F43752" w:rsidTr="00D01610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4375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Identification d'une obligation actuelle de payer une taxe qui est liée à un seuil de prorata d'activité tel qu'un seuil d'activité annuelle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02/04/2014</w:t>
            </w:r>
          </w:p>
        </w:tc>
      </w:tr>
      <w:tr w:rsidR="00B967CA" w:rsidRPr="00F43752" w:rsidTr="00D01610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CA" w:rsidRPr="00F43752" w:rsidRDefault="00B967CA" w:rsidP="00D01610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Taxes levées sur les i</w:t>
            </w:r>
            <w:r>
              <w:rPr>
                <w:rFonts w:eastAsia="Times New Roman" w:cs="Times New Roman"/>
                <w:color w:val="000000"/>
                <w:lang w:eastAsia="fr-FR"/>
              </w:rPr>
              <w:t>m</w:t>
            </w:r>
            <w:r w:rsidRPr="00F43752">
              <w:rPr>
                <w:rFonts w:eastAsia="Times New Roman" w:cs="Times New Roman"/>
                <w:color w:val="000000"/>
                <w:lang w:eastAsia="fr-FR"/>
              </w:rPr>
              <w:t>mobilisations corporelles de production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CA" w:rsidRPr="00F43752" w:rsidRDefault="00B967CA" w:rsidP="00D01610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F43752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</w:tbl>
    <w:p w:rsidR="00B967CA" w:rsidRDefault="00B967CA" w:rsidP="00B967CA">
      <w:pPr>
        <w:pStyle w:val="CACCorps"/>
      </w:pPr>
    </w:p>
    <w:p w:rsidR="00B967CA" w:rsidRDefault="00B967CA" w:rsidP="00B967CA">
      <w:pPr>
        <w:jc w:val="left"/>
      </w:pPr>
      <w:r>
        <w:br w:type="page"/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76" w:name="_Toc448997433"/>
      <w:bookmarkStart w:id="77" w:name="_Toc459821836"/>
      <w:r>
        <w:t>RECOMMANDATIONS AMF ET DECISIONS ESMA</w:t>
      </w:r>
      <w:bookmarkEnd w:id="76"/>
      <w:bookmarkEnd w:id="77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78" w:name="_Toc448997434"/>
      <w:bookmarkStart w:id="79" w:name="_Toc459821837"/>
      <w:r>
        <w:t>Recommandations AMF</w:t>
      </w:r>
      <w:bookmarkEnd w:id="78"/>
      <w:bookmarkEnd w:id="79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Aucune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3"/>
        <w:numPr>
          <w:ilvl w:val="2"/>
          <w:numId w:val="39"/>
        </w:numPr>
      </w:pPr>
      <w:bookmarkStart w:id="80" w:name="_Toc448997435"/>
      <w:bookmarkStart w:id="81" w:name="_Toc459821838"/>
      <w:r>
        <w:t>Décisions ESMA</w:t>
      </w:r>
      <w:bookmarkEnd w:id="80"/>
      <w:bookmarkEnd w:id="81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  <w:r>
        <w:t>Aucune</w:t>
      </w: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82" w:name="_Toc448997436"/>
      <w:bookmarkStart w:id="83" w:name="_Toc459821839"/>
      <w:r>
        <w:t>RAPPELS SUR L’INTERPRETATION</w:t>
      </w:r>
      <w:bookmarkEnd w:id="82"/>
      <w:bookmarkEnd w:id="83"/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Corps"/>
      </w:pPr>
    </w:p>
    <w:p w:rsidR="00B967CA" w:rsidRDefault="00B967CA" w:rsidP="00B967CA">
      <w:pPr>
        <w:pStyle w:val="CACTitre2"/>
        <w:numPr>
          <w:ilvl w:val="1"/>
          <w:numId w:val="39"/>
        </w:numPr>
      </w:pPr>
      <w:bookmarkStart w:id="84" w:name="_Toc448997437"/>
      <w:bookmarkStart w:id="85" w:name="_Toc459821840"/>
      <w:r>
        <w:t>RESSOURCES MISES A DISPOSITION</w:t>
      </w:r>
      <w:bookmarkEnd w:id="84"/>
      <w:bookmarkEnd w:id="85"/>
    </w:p>
    <w:p w:rsidR="00B967CA" w:rsidRDefault="00B967CA" w:rsidP="00B967CA">
      <w:pPr>
        <w:pStyle w:val="CACCorps"/>
      </w:pPr>
    </w:p>
    <w:p w:rsidR="00FF1A2A" w:rsidRDefault="00A007D2" w:rsidP="007F03F4">
      <w:pPr>
        <w:pStyle w:val="CACCorps"/>
        <w:numPr>
          <w:ilvl w:val="0"/>
          <w:numId w:val="53"/>
        </w:numPr>
      </w:pPr>
      <w:hyperlink r:id="rId12" w:history="1">
        <w:r w:rsidR="00B967CA" w:rsidRPr="00B967CA">
          <w:rPr>
            <w:rStyle w:val="Lienhypertexte"/>
          </w:rPr>
          <w:t>QFF15.X001</w:t>
        </w:r>
      </w:hyperlink>
      <w:r w:rsidR="007F03F4">
        <w:t xml:space="preserve"> - Analyse des droits et taxes en Europe (IFRIC 21)</w:t>
      </w: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B967CA" w:rsidRDefault="00B967CA" w:rsidP="00E92D5C">
      <w:pPr>
        <w:pStyle w:val="CACCorps"/>
      </w:pPr>
    </w:p>
    <w:p w:rsidR="00FF1A2A" w:rsidRDefault="00FF1A2A" w:rsidP="00E92D5C">
      <w:pPr>
        <w:pStyle w:val="CACCorps"/>
      </w:pPr>
    </w:p>
    <w:sectPr w:rsidR="00FF1A2A" w:rsidSect="0012765C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675" w:rsidRDefault="00D90675" w:rsidP="00706B95">
      <w:r>
        <w:separator/>
      </w:r>
    </w:p>
  </w:endnote>
  <w:endnote w:type="continuationSeparator" w:id="0">
    <w:p w:rsidR="00D90675" w:rsidRDefault="00D90675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487" w:rsidRDefault="00374FE8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7D1F84" wp14:editId="782ED80D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967CA" w:rsidRDefault="00B967CA" w:rsidP="00B967CA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AE619C">
                            <w:rPr>
                              <w:b/>
                              <w:color w:val="241820" w:themeColor="accent4" w:themeShade="80"/>
                            </w:rPr>
                            <w:t>2370 – Impôts, droits et taxes</w:t>
                          </w:r>
                        </w:p>
                        <w:p w:rsidR="00374FE8" w:rsidRPr="00DA2B39" w:rsidRDefault="00B967CA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D1F84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B967CA" w:rsidRDefault="00B967CA" w:rsidP="00B967CA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AE619C">
                      <w:rPr>
                        <w:b/>
                        <w:color w:val="241820" w:themeColor="accent4" w:themeShade="80"/>
                      </w:rPr>
                      <w:t>2370 – Impôts, droits et taxes</w:t>
                    </w:r>
                  </w:p>
                  <w:p w:rsidR="00374FE8" w:rsidRPr="00DA2B39" w:rsidRDefault="00B967CA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 w:rsidR="007E0487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236767" wp14:editId="4142BDD9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9D5BBE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675" w:rsidRDefault="00D90675" w:rsidP="00706B95">
      <w:r>
        <w:separator/>
      </w:r>
    </w:p>
  </w:footnote>
  <w:footnote w:type="continuationSeparator" w:id="0">
    <w:p w:rsidR="00D90675" w:rsidRDefault="00D90675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487" w:rsidRDefault="007E0487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226FEF" wp14:editId="212CC9BD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E0487" w:rsidRPr="0058523B" w:rsidRDefault="007E0487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A007D2" w:rsidRPr="00A007D2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 w:rsidR="00C436FD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 w:rsidR="00C436FD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 w:rsidR="00C436FD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 w:rsidR="00C436FD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A007D2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8</w:t>
                          </w:r>
                          <w:r w:rsidR="00C436FD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26FEF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7E0487" w:rsidRPr="0058523B" w:rsidRDefault="007E0487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A007D2" w:rsidRPr="00A007D2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 w:rsidR="00C436FD"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 w:rsidR="00C436FD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 w:rsidR="00C436FD"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 w:rsidR="00C436FD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A007D2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8</w:t>
                    </w:r>
                    <w:r w:rsidR="00C436FD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442E0E" wp14:editId="28A79EA0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580199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31C7"/>
    <w:multiLevelType w:val="hybridMultilevel"/>
    <w:tmpl w:val="AF54C91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5FA097E"/>
    <w:multiLevelType w:val="hybridMultilevel"/>
    <w:tmpl w:val="C1F66D7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0B683CAA"/>
    <w:multiLevelType w:val="hybridMultilevel"/>
    <w:tmpl w:val="1DC44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94AF1"/>
    <w:multiLevelType w:val="hybridMultilevel"/>
    <w:tmpl w:val="81949FB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1841312C"/>
    <w:multiLevelType w:val="hybridMultilevel"/>
    <w:tmpl w:val="3780A35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18E70440"/>
    <w:multiLevelType w:val="hybridMultilevel"/>
    <w:tmpl w:val="8234A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D17A7"/>
    <w:multiLevelType w:val="hybridMultilevel"/>
    <w:tmpl w:val="DA545E2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1E5027CF"/>
    <w:multiLevelType w:val="hybridMultilevel"/>
    <w:tmpl w:val="EE4A15C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1F025140"/>
    <w:multiLevelType w:val="hybridMultilevel"/>
    <w:tmpl w:val="6FC08C8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213F2BAA"/>
    <w:multiLevelType w:val="hybridMultilevel"/>
    <w:tmpl w:val="83BC6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175"/>
    <w:multiLevelType w:val="hybridMultilevel"/>
    <w:tmpl w:val="320EBF0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94157F2"/>
    <w:multiLevelType w:val="hybridMultilevel"/>
    <w:tmpl w:val="33BC30D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B064F46"/>
    <w:multiLevelType w:val="hybridMultilevel"/>
    <w:tmpl w:val="D166D68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B16301F"/>
    <w:multiLevelType w:val="hybridMultilevel"/>
    <w:tmpl w:val="E90E6EB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E037827"/>
    <w:multiLevelType w:val="hybridMultilevel"/>
    <w:tmpl w:val="861C60E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2F4405E0"/>
    <w:multiLevelType w:val="hybridMultilevel"/>
    <w:tmpl w:val="0066A70A"/>
    <w:lvl w:ilvl="0" w:tplc="040C0001">
      <w:start w:val="1"/>
      <w:numFmt w:val="bullet"/>
      <w:lvlText w:val=""/>
      <w:lvlJc w:val="left"/>
      <w:pPr>
        <w:ind w:left="4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</w:abstractNum>
  <w:abstractNum w:abstractNumId="16" w15:restartNumberingAfterBreak="0">
    <w:nsid w:val="31B10A6F"/>
    <w:multiLevelType w:val="hybridMultilevel"/>
    <w:tmpl w:val="F5FA25F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32014E3"/>
    <w:multiLevelType w:val="hybridMultilevel"/>
    <w:tmpl w:val="ACD28C2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4560B57"/>
    <w:multiLevelType w:val="hybridMultilevel"/>
    <w:tmpl w:val="7F6842AA"/>
    <w:lvl w:ilvl="0" w:tplc="040C000F">
      <w:start w:val="1"/>
      <w:numFmt w:val="decimal"/>
      <w:lvlText w:val="%1."/>
      <w:lvlJc w:val="left"/>
      <w:pPr>
        <w:ind w:left="766" w:hanging="360"/>
      </w:pPr>
    </w:lvl>
    <w:lvl w:ilvl="1" w:tplc="040C0019" w:tentative="1">
      <w:start w:val="1"/>
      <w:numFmt w:val="lowerLetter"/>
      <w:lvlText w:val="%2."/>
      <w:lvlJc w:val="left"/>
      <w:pPr>
        <w:ind w:left="1486" w:hanging="360"/>
      </w:pPr>
    </w:lvl>
    <w:lvl w:ilvl="2" w:tplc="040C001B" w:tentative="1">
      <w:start w:val="1"/>
      <w:numFmt w:val="lowerRoman"/>
      <w:lvlText w:val="%3."/>
      <w:lvlJc w:val="right"/>
      <w:pPr>
        <w:ind w:left="2206" w:hanging="180"/>
      </w:pPr>
    </w:lvl>
    <w:lvl w:ilvl="3" w:tplc="040C000F" w:tentative="1">
      <w:start w:val="1"/>
      <w:numFmt w:val="decimal"/>
      <w:lvlText w:val="%4."/>
      <w:lvlJc w:val="left"/>
      <w:pPr>
        <w:ind w:left="2926" w:hanging="360"/>
      </w:pPr>
    </w:lvl>
    <w:lvl w:ilvl="4" w:tplc="040C0019" w:tentative="1">
      <w:start w:val="1"/>
      <w:numFmt w:val="lowerLetter"/>
      <w:lvlText w:val="%5."/>
      <w:lvlJc w:val="left"/>
      <w:pPr>
        <w:ind w:left="3646" w:hanging="360"/>
      </w:pPr>
    </w:lvl>
    <w:lvl w:ilvl="5" w:tplc="040C001B" w:tentative="1">
      <w:start w:val="1"/>
      <w:numFmt w:val="lowerRoman"/>
      <w:lvlText w:val="%6."/>
      <w:lvlJc w:val="right"/>
      <w:pPr>
        <w:ind w:left="4366" w:hanging="180"/>
      </w:pPr>
    </w:lvl>
    <w:lvl w:ilvl="6" w:tplc="040C000F" w:tentative="1">
      <w:start w:val="1"/>
      <w:numFmt w:val="decimal"/>
      <w:lvlText w:val="%7."/>
      <w:lvlJc w:val="left"/>
      <w:pPr>
        <w:ind w:left="5086" w:hanging="360"/>
      </w:pPr>
    </w:lvl>
    <w:lvl w:ilvl="7" w:tplc="040C0019" w:tentative="1">
      <w:start w:val="1"/>
      <w:numFmt w:val="lowerLetter"/>
      <w:lvlText w:val="%8."/>
      <w:lvlJc w:val="left"/>
      <w:pPr>
        <w:ind w:left="5806" w:hanging="360"/>
      </w:pPr>
    </w:lvl>
    <w:lvl w:ilvl="8" w:tplc="040C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9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5D5B6D"/>
    <w:multiLevelType w:val="hybridMultilevel"/>
    <w:tmpl w:val="D2D01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760E8"/>
    <w:multiLevelType w:val="hybridMultilevel"/>
    <w:tmpl w:val="D20820B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DEB1FC8"/>
    <w:multiLevelType w:val="hybridMultilevel"/>
    <w:tmpl w:val="FA0A0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11906"/>
    <w:multiLevelType w:val="hybridMultilevel"/>
    <w:tmpl w:val="4CA26AF2"/>
    <w:lvl w:ilvl="0" w:tplc="040C0001">
      <w:start w:val="1"/>
      <w:numFmt w:val="bullet"/>
      <w:lvlText w:val=""/>
      <w:lvlJc w:val="left"/>
      <w:pPr>
        <w:ind w:left="706" w:hanging="6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abstractNum w:abstractNumId="24" w15:restartNumberingAfterBreak="0">
    <w:nsid w:val="475137F0"/>
    <w:multiLevelType w:val="hybridMultilevel"/>
    <w:tmpl w:val="8084D0D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48BA5AAC"/>
    <w:multiLevelType w:val="hybridMultilevel"/>
    <w:tmpl w:val="64047E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325371"/>
    <w:multiLevelType w:val="hybridMultilevel"/>
    <w:tmpl w:val="A7120B7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7" w15:restartNumberingAfterBreak="0">
    <w:nsid w:val="4C9C353B"/>
    <w:multiLevelType w:val="hybridMultilevel"/>
    <w:tmpl w:val="D758EF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01906"/>
    <w:multiLevelType w:val="hybridMultilevel"/>
    <w:tmpl w:val="5658D0C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F6179C2"/>
    <w:multiLevelType w:val="hybridMultilevel"/>
    <w:tmpl w:val="A5BA66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51E2005"/>
    <w:multiLevelType w:val="hybridMultilevel"/>
    <w:tmpl w:val="2F68180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57D67DD5"/>
    <w:multiLevelType w:val="hybridMultilevel"/>
    <w:tmpl w:val="6A3E3CC4"/>
    <w:lvl w:ilvl="0" w:tplc="040C0001">
      <w:start w:val="1"/>
      <w:numFmt w:val="bullet"/>
      <w:lvlText w:val=""/>
      <w:lvlJc w:val="left"/>
      <w:pPr>
        <w:ind w:left="706" w:hanging="660"/>
      </w:pPr>
      <w:rPr>
        <w:rFonts w:ascii="Symbol" w:hAnsi="Symbol" w:hint="default"/>
      </w:rPr>
    </w:lvl>
    <w:lvl w:ilvl="1" w:tplc="7DD029BE">
      <w:numFmt w:val="bullet"/>
      <w:lvlText w:val="–"/>
      <w:lvlJc w:val="left"/>
      <w:pPr>
        <w:ind w:left="1426" w:hanging="6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abstractNum w:abstractNumId="33" w15:restartNumberingAfterBreak="0">
    <w:nsid w:val="5A0F4300"/>
    <w:multiLevelType w:val="hybridMultilevel"/>
    <w:tmpl w:val="DDC8D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F4D86"/>
    <w:multiLevelType w:val="hybridMultilevel"/>
    <w:tmpl w:val="87204F5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 w15:restartNumberingAfterBreak="0">
    <w:nsid w:val="62A77DD7"/>
    <w:multiLevelType w:val="hybridMultilevel"/>
    <w:tmpl w:val="F3A6CA0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65705526"/>
    <w:multiLevelType w:val="hybridMultilevel"/>
    <w:tmpl w:val="B6766D3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65F35D73"/>
    <w:multiLevelType w:val="hybridMultilevel"/>
    <w:tmpl w:val="BE20883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8" w15:restartNumberingAfterBreak="0">
    <w:nsid w:val="6B0604F7"/>
    <w:multiLevelType w:val="hybridMultilevel"/>
    <w:tmpl w:val="5F56ED2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6CD16D2D"/>
    <w:multiLevelType w:val="hybridMultilevel"/>
    <w:tmpl w:val="9AA40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1D47BB"/>
    <w:multiLevelType w:val="hybridMultilevel"/>
    <w:tmpl w:val="BC5EF49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1F171FA"/>
    <w:multiLevelType w:val="hybridMultilevel"/>
    <w:tmpl w:val="6EA4E77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3BC43D1"/>
    <w:multiLevelType w:val="hybridMultilevel"/>
    <w:tmpl w:val="76FC12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0C4C68">
      <w:start w:val="12"/>
      <w:numFmt w:val="bullet"/>
      <w:lvlText w:val="•"/>
      <w:lvlJc w:val="left"/>
      <w:pPr>
        <w:ind w:left="1380" w:hanging="6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BB2057"/>
    <w:multiLevelType w:val="hybridMultilevel"/>
    <w:tmpl w:val="DA1608C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4" w15:restartNumberingAfterBreak="0">
    <w:nsid w:val="78077FDC"/>
    <w:multiLevelType w:val="hybridMultilevel"/>
    <w:tmpl w:val="CB36947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5" w15:restartNumberingAfterBreak="0">
    <w:nsid w:val="7AA274DB"/>
    <w:multiLevelType w:val="hybridMultilevel"/>
    <w:tmpl w:val="7B7EF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A555F2"/>
    <w:multiLevelType w:val="hybridMultilevel"/>
    <w:tmpl w:val="A5C4BA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80" w:hanging="6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E40C39"/>
    <w:multiLevelType w:val="hybridMultilevel"/>
    <w:tmpl w:val="43AA599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8" w15:restartNumberingAfterBreak="0">
    <w:nsid w:val="7D1A20AD"/>
    <w:multiLevelType w:val="multilevel"/>
    <w:tmpl w:val="E8CC8F8E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E8C2725"/>
    <w:multiLevelType w:val="hybridMultilevel"/>
    <w:tmpl w:val="E812B7F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9"/>
  </w:num>
  <w:num w:numId="3">
    <w:abstractNumId w:val="29"/>
  </w:num>
  <w:num w:numId="4">
    <w:abstractNumId w:val="4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3"/>
  </w:num>
  <w:num w:numId="8">
    <w:abstractNumId w:val="32"/>
  </w:num>
  <w:num w:numId="9">
    <w:abstractNumId w:val="22"/>
  </w:num>
  <w:num w:numId="10">
    <w:abstractNumId w:val="44"/>
  </w:num>
  <w:num w:numId="11">
    <w:abstractNumId w:val="24"/>
  </w:num>
  <w:num w:numId="12">
    <w:abstractNumId w:val="30"/>
  </w:num>
  <w:num w:numId="13">
    <w:abstractNumId w:val="37"/>
  </w:num>
  <w:num w:numId="14">
    <w:abstractNumId w:val="26"/>
  </w:num>
  <w:num w:numId="15">
    <w:abstractNumId w:val="2"/>
  </w:num>
  <w:num w:numId="16">
    <w:abstractNumId w:val="34"/>
  </w:num>
  <w:num w:numId="17">
    <w:abstractNumId w:val="12"/>
  </w:num>
  <w:num w:numId="18">
    <w:abstractNumId w:val="14"/>
  </w:num>
  <w:num w:numId="19">
    <w:abstractNumId w:val="49"/>
  </w:num>
  <w:num w:numId="20">
    <w:abstractNumId w:val="4"/>
  </w:num>
  <w:num w:numId="21">
    <w:abstractNumId w:val="13"/>
  </w:num>
  <w:num w:numId="22">
    <w:abstractNumId w:val="41"/>
  </w:num>
  <w:num w:numId="23">
    <w:abstractNumId w:val="42"/>
  </w:num>
  <w:num w:numId="24">
    <w:abstractNumId w:val="15"/>
  </w:num>
  <w:num w:numId="25">
    <w:abstractNumId w:val="46"/>
  </w:num>
  <w:num w:numId="26">
    <w:abstractNumId w:val="25"/>
  </w:num>
  <w:num w:numId="27">
    <w:abstractNumId w:val="10"/>
  </w:num>
  <w:num w:numId="28">
    <w:abstractNumId w:val="38"/>
  </w:num>
  <w:num w:numId="29">
    <w:abstractNumId w:val="16"/>
  </w:num>
  <w:num w:numId="30">
    <w:abstractNumId w:val="1"/>
  </w:num>
  <w:num w:numId="31">
    <w:abstractNumId w:val="43"/>
  </w:num>
  <w:num w:numId="32">
    <w:abstractNumId w:val="3"/>
  </w:num>
  <w:num w:numId="33">
    <w:abstractNumId w:val="20"/>
  </w:num>
  <w:num w:numId="34">
    <w:abstractNumId w:val="40"/>
  </w:num>
  <w:num w:numId="35">
    <w:abstractNumId w:val="33"/>
  </w:num>
  <w:num w:numId="36">
    <w:abstractNumId w:val="17"/>
  </w:num>
  <w:num w:numId="37">
    <w:abstractNumId w:val="5"/>
  </w:num>
  <w:num w:numId="38">
    <w:abstractNumId w:val="31"/>
  </w:num>
  <w:num w:numId="39">
    <w:abstractNumId w:val="48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36"/>
  </w:num>
  <w:num w:numId="42">
    <w:abstractNumId w:val="39"/>
  </w:num>
  <w:num w:numId="43">
    <w:abstractNumId w:val="27"/>
  </w:num>
  <w:num w:numId="44">
    <w:abstractNumId w:val="45"/>
  </w:num>
  <w:num w:numId="45">
    <w:abstractNumId w:val="28"/>
  </w:num>
  <w:num w:numId="46">
    <w:abstractNumId w:val="0"/>
  </w:num>
  <w:num w:numId="47">
    <w:abstractNumId w:val="8"/>
  </w:num>
  <w:num w:numId="48">
    <w:abstractNumId w:val="47"/>
  </w:num>
  <w:num w:numId="49">
    <w:abstractNumId w:val="6"/>
  </w:num>
  <w:num w:numId="50">
    <w:abstractNumId w:val="18"/>
  </w:num>
  <w:num w:numId="51">
    <w:abstractNumId w:val="7"/>
  </w:num>
  <w:num w:numId="52">
    <w:abstractNumId w:val="11"/>
  </w:num>
  <w:num w:numId="53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10E0"/>
    <w:rsid w:val="00032F60"/>
    <w:rsid w:val="00034926"/>
    <w:rsid w:val="000569DB"/>
    <w:rsid w:val="000610EC"/>
    <w:rsid w:val="000A208C"/>
    <w:rsid w:val="000D236B"/>
    <w:rsid w:val="000D6C13"/>
    <w:rsid w:val="00116522"/>
    <w:rsid w:val="001231AF"/>
    <w:rsid w:val="0012765C"/>
    <w:rsid w:val="001466A1"/>
    <w:rsid w:val="00164804"/>
    <w:rsid w:val="00165177"/>
    <w:rsid w:val="001A2723"/>
    <w:rsid w:val="001B0BCE"/>
    <w:rsid w:val="001E3B2A"/>
    <w:rsid w:val="001E6B08"/>
    <w:rsid w:val="001F701D"/>
    <w:rsid w:val="00223A30"/>
    <w:rsid w:val="00232D74"/>
    <w:rsid w:val="00235401"/>
    <w:rsid w:val="00235B02"/>
    <w:rsid w:val="0027523B"/>
    <w:rsid w:val="0028263C"/>
    <w:rsid w:val="00283853"/>
    <w:rsid w:val="0028777F"/>
    <w:rsid w:val="002A06C9"/>
    <w:rsid w:val="002B1161"/>
    <w:rsid w:val="002C1D17"/>
    <w:rsid w:val="002C3791"/>
    <w:rsid w:val="002C594E"/>
    <w:rsid w:val="002C6FA9"/>
    <w:rsid w:val="002D4C6D"/>
    <w:rsid w:val="002E3B5B"/>
    <w:rsid w:val="002F4958"/>
    <w:rsid w:val="00370257"/>
    <w:rsid w:val="00374FE8"/>
    <w:rsid w:val="0038258C"/>
    <w:rsid w:val="0039375C"/>
    <w:rsid w:val="00396A8D"/>
    <w:rsid w:val="003B6B92"/>
    <w:rsid w:val="003B7949"/>
    <w:rsid w:val="003C0504"/>
    <w:rsid w:val="003C3D9D"/>
    <w:rsid w:val="003E2E6D"/>
    <w:rsid w:val="003E5E9F"/>
    <w:rsid w:val="00400B7A"/>
    <w:rsid w:val="00405446"/>
    <w:rsid w:val="004210AD"/>
    <w:rsid w:val="004509D4"/>
    <w:rsid w:val="00453544"/>
    <w:rsid w:val="00463A4C"/>
    <w:rsid w:val="00463ECC"/>
    <w:rsid w:val="00464668"/>
    <w:rsid w:val="00470965"/>
    <w:rsid w:val="0048204F"/>
    <w:rsid w:val="0049164E"/>
    <w:rsid w:val="00496E28"/>
    <w:rsid w:val="004A3060"/>
    <w:rsid w:val="004E7C3D"/>
    <w:rsid w:val="005006BD"/>
    <w:rsid w:val="00507E43"/>
    <w:rsid w:val="00510FB1"/>
    <w:rsid w:val="005309CE"/>
    <w:rsid w:val="0058523B"/>
    <w:rsid w:val="00590552"/>
    <w:rsid w:val="005B028C"/>
    <w:rsid w:val="005C4DDC"/>
    <w:rsid w:val="005C5414"/>
    <w:rsid w:val="005D1AC7"/>
    <w:rsid w:val="005D3C31"/>
    <w:rsid w:val="005F7613"/>
    <w:rsid w:val="00623221"/>
    <w:rsid w:val="0062674A"/>
    <w:rsid w:val="00656DF2"/>
    <w:rsid w:val="00684825"/>
    <w:rsid w:val="006868D1"/>
    <w:rsid w:val="006A665B"/>
    <w:rsid w:val="006B0623"/>
    <w:rsid w:val="006C4567"/>
    <w:rsid w:val="006D160F"/>
    <w:rsid w:val="00706B95"/>
    <w:rsid w:val="007430C0"/>
    <w:rsid w:val="00747FC1"/>
    <w:rsid w:val="0079078B"/>
    <w:rsid w:val="007B4068"/>
    <w:rsid w:val="007B72A5"/>
    <w:rsid w:val="007E0487"/>
    <w:rsid w:val="007E6E7D"/>
    <w:rsid w:val="007F03F4"/>
    <w:rsid w:val="0080606A"/>
    <w:rsid w:val="00815B9E"/>
    <w:rsid w:val="00822370"/>
    <w:rsid w:val="008228C7"/>
    <w:rsid w:val="00827DD2"/>
    <w:rsid w:val="00832252"/>
    <w:rsid w:val="00864F00"/>
    <w:rsid w:val="0086530A"/>
    <w:rsid w:val="0087405C"/>
    <w:rsid w:val="0088193C"/>
    <w:rsid w:val="0089413C"/>
    <w:rsid w:val="008A082A"/>
    <w:rsid w:val="008B1B1A"/>
    <w:rsid w:val="008C3C87"/>
    <w:rsid w:val="0090151C"/>
    <w:rsid w:val="00903BDF"/>
    <w:rsid w:val="00917252"/>
    <w:rsid w:val="0094360D"/>
    <w:rsid w:val="00952337"/>
    <w:rsid w:val="00985251"/>
    <w:rsid w:val="00985CB6"/>
    <w:rsid w:val="009A44D5"/>
    <w:rsid w:val="009B0185"/>
    <w:rsid w:val="009F2684"/>
    <w:rsid w:val="00A007D2"/>
    <w:rsid w:val="00A12123"/>
    <w:rsid w:val="00A157BB"/>
    <w:rsid w:val="00A521C4"/>
    <w:rsid w:val="00A670C0"/>
    <w:rsid w:val="00A77315"/>
    <w:rsid w:val="00A94979"/>
    <w:rsid w:val="00A97E14"/>
    <w:rsid w:val="00AA5D89"/>
    <w:rsid w:val="00AB6EEF"/>
    <w:rsid w:val="00AE6E57"/>
    <w:rsid w:val="00AE782A"/>
    <w:rsid w:val="00AF3C27"/>
    <w:rsid w:val="00B66734"/>
    <w:rsid w:val="00B967CA"/>
    <w:rsid w:val="00BA15AB"/>
    <w:rsid w:val="00BC0BFC"/>
    <w:rsid w:val="00BE37AB"/>
    <w:rsid w:val="00BF15E4"/>
    <w:rsid w:val="00BF1BD6"/>
    <w:rsid w:val="00C05D00"/>
    <w:rsid w:val="00C17ACF"/>
    <w:rsid w:val="00C404FC"/>
    <w:rsid w:val="00C41132"/>
    <w:rsid w:val="00C436FD"/>
    <w:rsid w:val="00C611CD"/>
    <w:rsid w:val="00C802FA"/>
    <w:rsid w:val="00C81054"/>
    <w:rsid w:val="00CA35AB"/>
    <w:rsid w:val="00CA45DC"/>
    <w:rsid w:val="00CB2A45"/>
    <w:rsid w:val="00CD4893"/>
    <w:rsid w:val="00CD4EF4"/>
    <w:rsid w:val="00CE03B4"/>
    <w:rsid w:val="00CE1C1D"/>
    <w:rsid w:val="00CF0659"/>
    <w:rsid w:val="00D20A0F"/>
    <w:rsid w:val="00D27733"/>
    <w:rsid w:val="00D4068A"/>
    <w:rsid w:val="00D44B4D"/>
    <w:rsid w:val="00D47C40"/>
    <w:rsid w:val="00D66390"/>
    <w:rsid w:val="00D90675"/>
    <w:rsid w:val="00DA2B39"/>
    <w:rsid w:val="00E00632"/>
    <w:rsid w:val="00E4322F"/>
    <w:rsid w:val="00E50D53"/>
    <w:rsid w:val="00E50D9E"/>
    <w:rsid w:val="00E64FC3"/>
    <w:rsid w:val="00E66F52"/>
    <w:rsid w:val="00E74A62"/>
    <w:rsid w:val="00E92D5C"/>
    <w:rsid w:val="00E96446"/>
    <w:rsid w:val="00EB04D7"/>
    <w:rsid w:val="00EB2DBB"/>
    <w:rsid w:val="00EB3AEC"/>
    <w:rsid w:val="00EC2488"/>
    <w:rsid w:val="00EE1A26"/>
    <w:rsid w:val="00EE5E04"/>
    <w:rsid w:val="00EE72C9"/>
    <w:rsid w:val="00EF2621"/>
    <w:rsid w:val="00F00733"/>
    <w:rsid w:val="00F04F2D"/>
    <w:rsid w:val="00F05CB7"/>
    <w:rsid w:val="00F072B9"/>
    <w:rsid w:val="00F178CD"/>
    <w:rsid w:val="00F360EB"/>
    <w:rsid w:val="00F63429"/>
    <w:rsid w:val="00F6595F"/>
    <w:rsid w:val="00F66D80"/>
    <w:rsid w:val="00F726BB"/>
    <w:rsid w:val="00F849CB"/>
    <w:rsid w:val="00F91BC0"/>
    <w:rsid w:val="00F93ACF"/>
    <w:rsid w:val="00FA0079"/>
    <w:rsid w:val="00FA0A35"/>
    <w:rsid w:val="00FC6C9F"/>
    <w:rsid w:val="00FD30CD"/>
    <w:rsid w:val="00FD3E5B"/>
    <w:rsid w:val="00FF1A2A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0D8ED44-0181-4E60-A6D4-6C741CA7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B967CA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B967CA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B967CA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B967CA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  <w:style w:type="table" w:styleId="Grilledutableau">
    <w:name w:val="Table Grid"/>
    <w:basedOn w:val="TableauNormal"/>
    <w:uiPriority w:val="59"/>
    <w:rsid w:val="00E92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../../Outils%20et%20mod&#232;les/AUTRES%20MISSIONS/Q/QF/QFF/QFF15.X001.xls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F/QFF10.X001.xls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Impôts, droits et taxes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5FB410-0B39-4C59-A737-AB75C61F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1846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2370</vt:lpstr>
    </vt:vector>
  </TitlesOfParts>
  <Company>Microsoft</Company>
  <LinksUpToDate>false</LinksUpToDate>
  <CharactersWithSpaces>11976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2370</dc:title>
  <dc:creator>ATH</dc:creator>
  <cp:lastModifiedBy>SCHNELL Aurelie</cp:lastModifiedBy>
  <cp:revision>34</cp:revision>
  <cp:lastPrinted>2020-11-19T14:46:00Z</cp:lastPrinted>
  <dcterms:created xsi:type="dcterms:W3CDTF">2016-05-31T08:57:00Z</dcterms:created>
  <dcterms:modified xsi:type="dcterms:W3CDTF">2020-11-19T14:47:00Z</dcterms:modified>
</cp:coreProperties>
</file>